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431"/>
        <w:gridCol w:w="1888"/>
      </w:tblGrid>
      <w:tr w:rsidR="0041637B" w:rsidTr="0041637B">
        <w:trPr>
          <w:trHeight w:val="859"/>
        </w:trPr>
        <w:tc>
          <w:tcPr>
            <w:tcW w:w="4380" w:type="dxa"/>
          </w:tcPr>
          <w:p w:rsidR="0041637B" w:rsidRDefault="0041637B" w:rsidP="00226CE8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</w:tcPr>
          <w:p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 w:val="restart"/>
            <w:shd w:val="clear" w:color="auto" w:fill="D9D9D9" w:themeFill="background1" w:themeFillShade="D9"/>
          </w:tcPr>
          <w:p w:rsidR="0041637B" w:rsidRPr="004B2381" w:rsidRDefault="00ED02E5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02E5">
              <w:rPr>
                <w:rFonts w:ascii="Verdana" w:hAnsi="Verdana"/>
                <w:b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-10160</wp:posOffset>
                  </wp:positionH>
                  <wp:positionV relativeFrom="paragraph">
                    <wp:posOffset>27940</wp:posOffset>
                  </wp:positionV>
                  <wp:extent cx="1088685" cy="1352236"/>
                  <wp:effectExtent l="0" t="0" r="0" b="635"/>
                  <wp:wrapNone/>
                  <wp:docPr id="1" name="Kép 1" descr="F:\Életrajz\Felméry Zoltá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Életrajz\Felméry Zoltá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685" cy="135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637B" w:rsidTr="0041637B">
        <w:tc>
          <w:tcPr>
            <w:tcW w:w="4380" w:type="dxa"/>
          </w:tcPr>
          <w:p w:rsidR="0041637B" w:rsidRPr="007B1A21" w:rsidRDefault="00D26ECA" w:rsidP="00D26ECA">
            <w:pPr>
              <w:spacing w:line="276" w:lineRule="auto"/>
              <w:ind w:left="-113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Dr. Felméry Zoltán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  <w:t xml:space="preserve"> 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 w:rsidRPr="00333A5C">
              <w:rPr>
                <w:rFonts w:ascii="Verdana" w:hAnsi="Verdana"/>
                <w:sz w:val="20"/>
                <w:szCs w:val="20"/>
              </w:rPr>
              <w:t>Email:</w:t>
            </w:r>
            <w:r>
              <w:rPr>
                <w:rFonts w:ascii="Verdana" w:hAnsi="Verdana"/>
                <w:sz w:val="20"/>
                <w:szCs w:val="20"/>
              </w:rPr>
              <w:t xml:space="preserve"> felmery.zoltan@uni-nke.hu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 xml:space="preserve">Telefon: +36 </w:t>
            </w:r>
            <w:r>
              <w:rPr>
                <w:rFonts w:ascii="Verdana" w:hAnsi="Verdana"/>
                <w:sz w:val="20"/>
                <w:szCs w:val="20"/>
              </w:rPr>
              <w:t>30</w:t>
            </w:r>
            <w:r w:rsidR="0041637B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296 0029</w:t>
            </w:r>
            <w:r w:rsidR="0041637B">
              <w:rPr>
                <w:rFonts w:ascii="Verdana" w:hAnsi="Verdana"/>
                <w:sz w:val="20"/>
                <w:szCs w:val="20"/>
              </w:rPr>
              <w:t xml:space="preserve"> / </w:t>
            </w:r>
            <w:r>
              <w:rPr>
                <w:rFonts w:ascii="Verdana" w:hAnsi="Verdana"/>
                <w:sz w:val="20"/>
                <w:szCs w:val="20"/>
              </w:rPr>
              <w:t>20817</w:t>
            </w:r>
            <w:r w:rsidR="0041637B" w:rsidRPr="001F71AA">
              <w:rPr>
                <w:rFonts w:ascii="Verdana" w:hAnsi="Verdana"/>
                <w:sz w:val="20"/>
                <w:szCs w:val="20"/>
              </w:rPr>
              <w:br/>
            </w:r>
            <w:r w:rsidR="0041637B">
              <w:rPr>
                <w:rFonts w:ascii="Verdana" w:hAnsi="Verdana"/>
                <w:sz w:val="20"/>
                <w:szCs w:val="20"/>
              </w:rPr>
              <w:t>Születési hely, idő:</w:t>
            </w:r>
            <w:r>
              <w:rPr>
                <w:rFonts w:ascii="Verdana" w:hAnsi="Verdana"/>
                <w:sz w:val="20"/>
                <w:szCs w:val="20"/>
              </w:rPr>
              <w:t xml:space="preserve"> Budapest,1987.01.20.</w:t>
            </w:r>
          </w:p>
        </w:tc>
        <w:tc>
          <w:tcPr>
            <w:tcW w:w="2431" w:type="dxa"/>
            <w:vMerge/>
          </w:tcPr>
          <w:p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</w:tcPr>
          <w:p w:rsidR="0041637B" w:rsidRPr="004B2381" w:rsidRDefault="0041637B" w:rsidP="00226CE8">
            <w:pPr>
              <w:spacing w:line="276" w:lineRule="auto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:rsidR="00AE40B5" w:rsidRDefault="00AE40B5" w:rsidP="001F71AA">
      <w:pPr>
        <w:spacing w:before="160" w:line="276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33A5C" w:rsidRPr="005710DF" w:rsidTr="00A8399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MUNKAHELYEK ÉS BEOSZTÁSOK</w:t>
            </w:r>
          </w:p>
        </w:tc>
      </w:tr>
    </w:tbl>
    <w:p w:rsidR="00A83991" w:rsidRPr="00A83991" w:rsidRDefault="00A83991" w:rsidP="00A83991">
      <w:pPr>
        <w:tabs>
          <w:tab w:val="left" w:pos="1560"/>
        </w:tabs>
        <w:spacing w:before="120" w:after="0" w:line="240" w:lineRule="auto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 xml:space="preserve">2024.01. – 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b/>
          <w:sz w:val="19"/>
          <w:szCs w:val="19"/>
        </w:rPr>
        <w:t>Tudományos munkatárs</w:t>
      </w:r>
    </w:p>
    <w:p w:rsidR="00A83991" w:rsidRPr="00092739" w:rsidRDefault="00A83991" w:rsidP="00A83991">
      <w:pPr>
        <w:tabs>
          <w:tab w:val="left" w:pos="1560"/>
        </w:tabs>
        <w:spacing w:after="60" w:line="240" w:lineRule="auto"/>
        <w:rPr>
          <w:rFonts w:ascii="Verdana" w:hAnsi="Verdana" w:cs="Times New Roman"/>
          <w:b/>
          <w:sz w:val="19"/>
          <w:szCs w:val="19"/>
        </w:rPr>
      </w:pPr>
      <w:r w:rsidRPr="00A83991">
        <w:rPr>
          <w:rFonts w:ascii="Verdana" w:hAnsi="Verdana" w:cs="Times New Roman"/>
          <w:i/>
          <w:sz w:val="19"/>
          <w:szCs w:val="19"/>
        </w:rPr>
        <w:tab/>
      </w:r>
      <w:r w:rsidRPr="00A83991">
        <w:rPr>
          <w:rFonts w:ascii="Verdana" w:hAnsi="Verdana" w:cs="Times New Roman"/>
          <w:i/>
          <w:sz w:val="19"/>
          <w:szCs w:val="19"/>
        </w:rPr>
        <w:tab/>
      </w:r>
      <w:r w:rsidRPr="00092739">
        <w:rPr>
          <w:rFonts w:ascii="Verdana" w:hAnsi="Verdana" w:cs="Times New Roman"/>
          <w:b/>
          <w:i/>
          <w:sz w:val="19"/>
          <w:szCs w:val="19"/>
        </w:rPr>
        <w:t>John Lukacs Intézet, Nemzeti Közszolgálati Egyetem</w:t>
      </w:r>
    </w:p>
    <w:p w:rsidR="00A83991" w:rsidRPr="00A83991" w:rsidRDefault="00A83991" w:rsidP="00A83991">
      <w:pPr>
        <w:tabs>
          <w:tab w:val="left" w:pos="1560"/>
        </w:tabs>
        <w:spacing w:after="0" w:line="240" w:lineRule="auto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>2012.09. – 2023.12.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171054">
        <w:rPr>
          <w:rFonts w:ascii="Verdana" w:hAnsi="Verdana" w:cs="Times New Roman"/>
          <w:sz w:val="19"/>
          <w:szCs w:val="19"/>
        </w:rPr>
        <w:t>Tudományos munkatárs</w:t>
      </w:r>
    </w:p>
    <w:p w:rsidR="00A83991" w:rsidRPr="00A83991" w:rsidRDefault="00A83991" w:rsidP="00A83991">
      <w:pPr>
        <w:tabs>
          <w:tab w:val="left" w:pos="1560"/>
        </w:tabs>
        <w:spacing w:after="60" w:line="240" w:lineRule="auto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i/>
          <w:sz w:val="19"/>
          <w:szCs w:val="19"/>
        </w:rPr>
        <w:tab/>
      </w:r>
      <w:r w:rsidRPr="00A83991">
        <w:rPr>
          <w:rFonts w:ascii="Verdana" w:hAnsi="Verdana" w:cs="Times New Roman"/>
          <w:i/>
          <w:sz w:val="19"/>
          <w:szCs w:val="19"/>
        </w:rPr>
        <w:tab/>
        <w:t>Stratégiai Védelmi Kutatóintézet, Nemzeti Közszolgálati Egyetem</w:t>
      </w:r>
    </w:p>
    <w:p w:rsidR="00A83991" w:rsidRPr="00A83991" w:rsidRDefault="00A83991" w:rsidP="00A83991">
      <w:pPr>
        <w:tabs>
          <w:tab w:val="left" w:pos="1560"/>
        </w:tabs>
        <w:spacing w:after="0" w:line="240" w:lineRule="auto"/>
        <w:rPr>
          <w:rFonts w:ascii="Verdana" w:hAnsi="Verdana" w:cs="Times New Roman"/>
          <w:b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>2016.10. – 2022.06.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171054">
        <w:rPr>
          <w:rFonts w:ascii="Verdana" w:hAnsi="Verdana" w:cs="Times New Roman"/>
          <w:sz w:val="19"/>
          <w:szCs w:val="19"/>
        </w:rPr>
        <w:t>Tudományos segédmunkatárs</w:t>
      </w:r>
    </w:p>
    <w:p w:rsidR="00A83991" w:rsidRPr="00A83991" w:rsidRDefault="00A83991" w:rsidP="00A83991">
      <w:pPr>
        <w:tabs>
          <w:tab w:val="left" w:pos="1560"/>
        </w:tabs>
        <w:spacing w:after="60" w:line="240" w:lineRule="auto"/>
        <w:rPr>
          <w:rFonts w:ascii="Verdana" w:hAnsi="Verdana" w:cs="Times New Roman"/>
          <w:i/>
          <w:sz w:val="19"/>
          <w:szCs w:val="19"/>
        </w:rPr>
      </w:pPr>
      <w:r w:rsidRPr="00A83991">
        <w:rPr>
          <w:rFonts w:ascii="Verdana" w:hAnsi="Verdana" w:cs="Times New Roman"/>
          <w:b/>
          <w:sz w:val="19"/>
          <w:szCs w:val="19"/>
        </w:rPr>
        <w:tab/>
      </w:r>
      <w:r w:rsidRPr="00A83991">
        <w:rPr>
          <w:rFonts w:ascii="Verdana" w:hAnsi="Verdana" w:cs="Times New Roman"/>
          <w:b/>
          <w:sz w:val="19"/>
          <w:szCs w:val="19"/>
        </w:rPr>
        <w:tab/>
      </w:r>
      <w:r w:rsidRPr="00A83991">
        <w:rPr>
          <w:rFonts w:ascii="Verdana" w:hAnsi="Verdana" w:cs="Times New Roman"/>
          <w:i/>
          <w:sz w:val="19"/>
          <w:szCs w:val="19"/>
        </w:rPr>
        <w:t>Stratégiai és Projektvezetés Tanszék, Budapesti Corvinus Egyetem</w:t>
      </w:r>
    </w:p>
    <w:p w:rsidR="00A83991" w:rsidRPr="00A83991" w:rsidRDefault="00A83991" w:rsidP="00A83991">
      <w:pPr>
        <w:spacing w:after="0" w:line="264" w:lineRule="auto"/>
        <w:jc w:val="both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 xml:space="preserve">2016.09. – 2018.05.  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171054">
        <w:rPr>
          <w:rFonts w:ascii="Verdana" w:hAnsi="Verdana" w:cs="Times New Roman"/>
          <w:sz w:val="19"/>
          <w:szCs w:val="19"/>
        </w:rPr>
        <w:t>Módszertani referens</w:t>
      </w:r>
    </w:p>
    <w:p w:rsidR="00A83991" w:rsidRPr="00A83991" w:rsidRDefault="00A83991" w:rsidP="00A83991">
      <w:pPr>
        <w:spacing w:after="60" w:line="264" w:lineRule="auto"/>
        <w:jc w:val="both"/>
        <w:rPr>
          <w:rFonts w:ascii="Verdana" w:hAnsi="Verdana" w:cs="Times New Roman"/>
          <w:i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i/>
          <w:sz w:val="19"/>
          <w:szCs w:val="19"/>
        </w:rPr>
        <w:t>Közszolgálat-fejlesztési és Stratégiai Főosztály, Belügyminisztérium</w:t>
      </w:r>
    </w:p>
    <w:p w:rsidR="00A83991" w:rsidRPr="00A83991" w:rsidRDefault="00A83991" w:rsidP="00A83991">
      <w:pPr>
        <w:spacing w:after="0" w:line="264" w:lineRule="auto"/>
        <w:jc w:val="both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>2014.12. – 2016.09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171054">
        <w:rPr>
          <w:rFonts w:ascii="Verdana" w:hAnsi="Verdana" w:cs="Times New Roman"/>
          <w:sz w:val="19"/>
          <w:szCs w:val="19"/>
        </w:rPr>
        <w:t>Módszertani szakértő</w:t>
      </w:r>
    </w:p>
    <w:p w:rsidR="00A83991" w:rsidRPr="00A83991" w:rsidRDefault="00A83991" w:rsidP="00A83991">
      <w:pPr>
        <w:spacing w:after="60" w:line="264" w:lineRule="auto"/>
        <w:ind w:left="2132"/>
        <w:rPr>
          <w:rFonts w:ascii="Verdana" w:hAnsi="Verdana" w:cs="Times New Roman"/>
          <w:i/>
          <w:sz w:val="19"/>
          <w:szCs w:val="19"/>
        </w:rPr>
      </w:pPr>
      <w:r w:rsidRPr="00A83991">
        <w:rPr>
          <w:rFonts w:ascii="Verdana" w:hAnsi="Verdana" w:cs="Times New Roman"/>
          <w:i/>
          <w:sz w:val="19"/>
          <w:szCs w:val="19"/>
        </w:rPr>
        <w:t>Közigazgatási Személyzetfejlesztési Igazgatóság, Közszolgálati Személyzetfejlesztési Főigazgatóság</w:t>
      </w:r>
    </w:p>
    <w:p w:rsidR="00A83991" w:rsidRPr="00A83991" w:rsidRDefault="00A83991" w:rsidP="00A83991">
      <w:pPr>
        <w:spacing w:after="0" w:line="264" w:lineRule="auto"/>
        <w:jc w:val="both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>2012.08. – 2014.12.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171054">
        <w:rPr>
          <w:rFonts w:ascii="Verdana" w:hAnsi="Verdana" w:cs="Times New Roman"/>
          <w:sz w:val="19"/>
          <w:szCs w:val="19"/>
        </w:rPr>
        <w:t>Módszertani szakreferens</w:t>
      </w:r>
    </w:p>
    <w:p w:rsidR="00A83991" w:rsidRPr="00A83991" w:rsidRDefault="00A83991" w:rsidP="00A83991">
      <w:pPr>
        <w:spacing w:after="60" w:line="264" w:lineRule="auto"/>
        <w:jc w:val="both"/>
        <w:rPr>
          <w:rFonts w:ascii="Verdana" w:hAnsi="Verdana" w:cs="Times New Roman"/>
          <w:i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sz w:val="19"/>
          <w:szCs w:val="19"/>
        </w:rPr>
        <w:tab/>
      </w:r>
      <w:r w:rsidRPr="00A83991">
        <w:rPr>
          <w:rFonts w:ascii="Verdana" w:hAnsi="Verdana" w:cs="Times New Roman"/>
          <w:i/>
          <w:sz w:val="19"/>
          <w:szCs w:val="19"/>
        </w:rPr>
        <w:t>Személyzetfejlesztési Főosztály, Közigazgatási és Igazságügyi Hivatal</w:t>
      </w:r>
    </w:p>
    <w:p w:rsidR="00A83991" w:rsidRPr="00171054" w:rsidRDefault="00A83991" w:rsidP="00A83991">
      <w:pPr>
        <w:spacing w:after="0" w:line="264" w:lineRule="auto"/>
        <w:jc w:val="both"/>
        <w:rPr>
          <w:rFonts w:ascii="Verdana" w:hAnsi="Verdana" w:cs="Times New Roman"/>
          <w:sz w:val="19"/>
          <w:szCs w:val="19"/>
        </w:rPr>
      </w:pPr>
      <w:r w:rsidRPr="00A83991">
        <w:rPr>
          <w:rFonts w:ascii="Verdana" w:hAnsi="Verdana" w:cs="Times New Roman"/>
          <w:sz w:val="19"/>
          <w:szCs w:val="19"/>
        </w:rPr>
        <w:t>2011.06. – 2012. 08.</w:t>
      </w:r>
      <w:r w:rsidRPr="00A83991">
        <w:rPr>
          <w:rFonts w:ascii="Verdana" w:hAnsi="Verdana" w:cs="Times New Roman"/>
          <w:sz w:val="19"/>
          <w:szCs w:val="19"/>
        </w:rPr>
        <w:tab/>
      </w:r>
      <w:r w:rsidRPr="00171054">
        <w:rPr>
          <w:rFonts w:ascii="Verdana" w:hAnsi="Verdana" w:cs="Times New Roman"/>
          <w:sz w:val="19"/>
          <w:szCs w:val="19"/>
        </w:rPr>
        <w:t>Módszertani szakreferens</w:t>
      </w:r>
    </w:p>
    <w:p w:rsidR="00A83991" w:rsidRPr="00A83991" w:rsidRDefault="00A83991" w:rsidP="00A83991">
      <w:pPr>
        <w:spacing w:after="240" w:line="240" w:lineRule="auto"/>
        <w:ind w:left="2126"/>
        <w:jc w:val="both"/>
        <w:rPr>
          <w:rFonts w:ascii="Verdana" w:hAnsi="Verdana" w:cs="Times New Roman"/>
          <w:i/>
          <w:sz w:val="19"/>
          <w:szCs w:val="19"/>
        </w:rPr>
      </w:pPr>
      <w:r w:rsidRPr="00A83991">
        <w:rPr>
          <w:rFonts w:ascii="Verdana" w:hAnsi="Verdana" w:cs="Times New Roman"/>
          <w:i/>
          <w:sz w:val="19"/>
          <w:szCs w:val="19"/>
        </w:rPr>
        <w:t>Közigazgatási Személyügyi Szolgáltató Főosztály, Nemzeti Közigazgatási Intézet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33A5C" w:rsidRPr="00C96816" w:rsidTr="003E4354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TANULMÁNYOK</w:t>
            </w:r>
          </w:p>
        </w:tc>
      </w:tr>
    </w:tbl>
    <w:p w:rsidR="003E4354" w:rsidRPr="003E4354" w:rsidRDefault="003E4354" w:rsidP="003E4354">
      <w:pPr>
        <w:tabs>
          <w:tab w:val="left" w:pos="1560"/>
        </w:tabs>
        <w:spacing w:before="120" w:after="60" w:line="240" w:lineRule="auto"/>
        <w:ind w:left="2126" w:hanging="2126"/>
        <w:rPr>
          <w:rFonts w:ascii="Verdana" w:hAnsi="Verdana" w:cs="Times New Roman"/>
          <w:sz w:val="19"/>
          <w:szCs w:val="19"/>
        </w:rPr>
      </w:pPr>
      <w:r w:rsidRPr="003E4354">
        <w:rPr>
          <w:rFonts w:ascii="Verdana" w:hAnsi="Verdana" w:cs="Times New Roman"/>
          <w:sz w:val="19"/>
          <w:szCs w:val="19"/>
        </w:rPr>
        <w:t>2010.02. – 2012.01.</w:t>
      </w:r>
      <w:r w:rsidRPr="003E4354">
        <w:rPr>
          <w:rFonts w:ascii="Verdana" w:hAnsi="Verdana" w:cs="Times New Roman"/>
          <w:sz w:val="19"/>
          <w:szCs w:val="19"/>
        </w:rPr>
        <w:tab/>
        <w:t>Közgazdász vezetés és szervezés szakon (MSc) – Budapesti Corvinus Egyetem, Gazdálkodástudományi Kar</w:t>
      </w:r>
    </w:p>
    <w:p w:rsidR="003E4354" w:rsidRPr="003E4354" w:rsidRDefault="003E4354" w:rsidP="003E4354">
      <w:pPr>
        <w:tabs>
          <w:tab w:val="left" w:pos="1560"/>
        </w:tabs>
        <w:spacing w:after="240" w:line="240" w:lineRule="auto"/>
        <w:ind w:left="2126" w:hanging="2126"/>
        <w:rPr>
          <w:rFonts w:ascii="Verdana" w:hAnsi="Verdana" w:cs="Times New Roman"/>
          <w:sz w:val="19"/>
          <w:szCs w:val="19"/>
        </w:rPr>
      </w:pPr>
      <w:r w:rsidRPr="003E4354">
        <w:rPr>
          <w:rFonts w:ascii="Verdana" w:hAnsi="Verdana" w:cs="Times New Roman"/>
          <w:sz w:val="19"/>
          <w:szCs w:val="19"/>
        </w:rPr>
        <w:t>2009.09. – 2011.07.</w:t>
      </w:r>
      <w:r w:rsidRPr="003E4354">
        <w:rPr>
          <w:rFonts w:ascii="Verdana" w:hAnsi="Verdana" w:cs="Times New Roman"/>
          <w:sz w:val="19"/>
          <w:szCs w:val="19"/>
        </w:rPr>
        <w:tab/>
        <w:t>Közgazdász tanár (MA) – Budapesti Gazdasági Főiskola, Kereskedelmi, Vendéglátóipari és Idegenforgalmi Főiskolai Kar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33A5C" w:rsidRPr="00C96816" w:rsidTr="000E360E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TUDOMÁNYOS FOKOZAT</w:t>
            </w:r>
          </w:p>
        </w:tc>
      </w:tr>
    </w:tbl>
    <w:p w:rsidR="000E360E" w:rsidRPr="000E360E" w:rsidRDefault="000E360E" w:rsidP="000E360E">
      <w:pPr>
        <w:tabs>
          <w:tab w:val="left" w:pos="1560"/>
        </w:tabs>
        <w:spacing w:before="120" w:after="240" w:line="240" w:lineRule="auto"/>
        <w:rPr>
          <w:rFonts w:ascii="Verdana" w:hAnsi="Verdana" w:cs="Times New Roman"/>
          <w:sz w:val="19"/>
          <w:szCs w:val="19"/>
        </w:rPr>
      </w:pPr>
      <w:r w:rsidRPr="000E360E">
        <w:rPr>
          <w:rFonts w:ascii="Verdana" w:hAnsi="Verdana" w:cs="Times New Roman"/>
          <w:sz w:val="19"/>
          <w:szCs w:val="19"/>
        </w:rPr>
        <w:t>2012.09. – 2018.03.</w:t>
      </w:r>
      <w:r w:rsidRPr="000E360E">
        <w:rPr>
          <w:rFonts w:ascii="Verdana" w:hAnsi="Verdana" w:cs="Times New Roman"/>
          <w:sz w:val="19"/>
          <w:szCs w:val="19"/>
        </w:rPr>
        <w:tab/>
        <w:t>PhD – Budapesti Corvinus Egyetem, Gazdálkodástani Doktori Iskola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33A5C" w:rsidRPr="00C96816" w:rsidTr="000E360E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EGYÉB SZAKMAI (KITÜNTETÉSEK, DÍJAK, TUDOMÁNYOS) TEVÉKENYSÉG</w:t>
            </w:r>
          </w:p>
        </w:tc>
      </w:tr>
    </w:tbl>
    <w:p w:rsidR="000E360E" w:rsidRPr="0035702E" w:rsidRDefault="000E360E" w:rsidP="000E360E">
      <w:pPr>
        <w:tabs>
          <w:tab w:val="left" w:pos="1560"/>
        </w:tabs>
        <w:spacing w:before="120" w:after="60" w:line="240" w:lineRule="auto"/>
        <w:rPr>
          <w:rFonts w:ascii="Verdana" w:hAnsi="Verdana" w:cs="Times New Roman"/>
          <w:sz w:val="19"/>
          <w:szCs w:val="19"/>
        </w:rPr>
      </w:pPr>
      <w:r w:rsidRPr="0035702E">
        <w:rPr>
          <w:rFonts w:ascii="Verdana" w:hAnsi="Verdana" w:cs="Times New Roman"/>
          <w:sz w:val="19"/>
          <w:szCs w:val="19"/>
        </w:rPr>
        <w:t>2014.</w:t>
      </w:r>
      <w:r w:rsidRPr="0035702E">
        <w:rPr>
          <w:rFonts w:ascii="Verdana" w:hAnsi="Verdana" w:cs="Times New Roman"/>
          <w:sz w:val="19"/>
          <w:szCs w:val="19"/>
        </w:rPr>
        <w:tab/>
      </w:r>
      <w:r w:rsidRPr="0035702E">
        <w:rPr>
          <w:rFonts w:ascii="Verdana" w:hAnsi="Verdana" w:cs="Times New Roman"/>
          <w:sz w:val="19"/>
          <w:szCs w:val="19"/>
        </w:rPr>
        <w:tab/>
        <w:t>PhD kutatói ösztöndíj, Pallas Athéné Domus Animae Alapítvány</w:t>
      </w:r>
    </w:p>
    <w:p w:rsidR="000E360E" w:rsidRPr="0035702E" w:rsidRDefault="000E360E" w:rsidP="000E360E">
      <w:pPr>
        <w:tabs>
          <w:tab w:val="left" w:pos="1560"/>
        </w:tabs>
        <w:spacing w:after="60" w:line="240" w:lineRule="auto"/>
        <w:rPr>
          <w:rFonts w:ascii="Verdana" w:hAnsi="Verdana" w:cs="Times New Roman"/>
          <w:sz w:val="19"/>
          <w:szCs w:val="19"/>
        </w:rPr>
      </w:pPr>
      <w:r w:rsidRPr="0035702E">
        <w:rPr>
          <w:rFonts w:ascii="Verdana" w:hAnsi="Verdana" w:cs="Times New Roman"/>
          <w:sz w:val="19"/>
          <w:szCs w:val="19"/>
        </w:rPr>
        <w:t xml:space="preserve">2015. </w:t>
      </w:r>
      <w:r w:rsidRPr="0035702E">
        <w:rPr>
          <w:rFonts w:ascii="Verdana" w:hAnsi="Verdana" w:cs="Times New Roman"/>
          <w:sz w:val="19"/>
          <w:szCs w:val="19"/>
        </w:rPr>
        <w:tab/>
      </w:r>
      <w:r w:rsidRPr="0035702E">
        <w:rPr>
          <w:rFonts w:ascii="Verdana" w:hAnsi="Verdana" w:cs="Times New Roman"/>
          <w:sz w:val="19"/>
          <w:szCs w:val="19"/>
        </w:rPr>
        <w:tab/>
        <w:t>PhD kutatói ösztöndíj, Pallas Athéné Domus Animae Alapítvány</w:t>
      </w:r>
    </w:p>
    <w:p w:rsidR="000E360E" w:rsidRPr="0035702E" w:rsidRDefault="000E360E" w:rsidP="000E360E">
      <w:pPr>
        <w:tabs>
          <w:tab w:val="left" w:pos="1560"/>
        </w:tabs>
        <w:spacing w:after="240" w:line="240" w:lineRule="auto"/>
        <w:rPr>
          <w:rFonts w:ascii="Verdana" w:hAnsi="Verdana" w:cs="Times New Roman"/>
          <w:sz w:val="19"/>
          <w:szCs w:val="19"/>
        </w:rPr>
      </w:pPr>
      <w:r w:rsidRPr="0035702E">
        <w:rPr>
          <w:rFonts w:ascii="Verdana" w:hAnsi="Verdana" w:cs="Times New Roman"/>
          <w:sz w:val="19"/>
          <w:szCs w:val="19"/>
        </w:rPr>
        <w:t>2017.</w:t>
      </w:r>
      <w:r w:rsidRPr="0035702E">
        <w:rPr>
          <w:rFonts w:ascii="Verdana" w:hAnsi="Verdana" w:cs="Times New Roman"/>
          <w:sz w:val="19"/>
          <w:szCs w:val="19"/>
        </w:rPr>
        <w:tab/>
      </w:r>
      <w:r w:rsidRPr="0035702E">
        <w:rPr>
          <w:rFonts w:ascii="Verdana" w:hAnsi="Verdana" w:cs="Times New Roman"/>
          <w:sz w:val="19"/>
          <w:szCs w:val="19"/>
        </w:rPr>
        <w:tab/>
        <w:t>BCE-MNB Kutatási Kiválóság Díj</w:t>
      </w:r>
    </w:p>
    <w:tbl>
      <w:tblPr>
        <w:tblStyle w:val="Rcsostblzat"/>
        <w:tblW w:w="8877" w:type="dxa"/>
        <w:tblLook w:val="04A0" w:firstRow="1" w:lastRow="0" w:firstColumn="1" w:lastColumn="0" w:noHBand="0" w:noVBand="1"/>
      </w:tblPr>
      <w:tblGrid>
        <w:gridCol w:w="1796"/>
        <w:gridCol w:w="7081"/>
      </w:tblGrid>
      <w:tr w:rsidR="00333A5C" w:rsidRPr="00C96816" w:rsidTr="0035702E">
        <w:trPr>
          <w:trHeight w:val="269"/>
        </w:trPr>
        <w:tc>
          <w:tcPr>
            <w:tcW w:w="8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:rsidR="00333A5C" w:rsidRPr="00C96816" w:rsidRDefault="00333A5C" w:rsidP="00C24790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C9681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IDEGENNYELV-ISMERET</w:t>
            </w:r>
          </w:p>
        </w:tc>
      </w:tr>
      <w:tr w:rsidR="00333A5C" w:rsidRPr="005710DF" w:rsidTr="0035702E">
        <w:trPr>
          <w:trHeight w:val="269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C96816" w:rsidRDefault="0035702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Angol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35702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Középfok (B2)</w:t>
            </w:r>
          </w:p>
        </w:tc>
      </w:tr>
      <w:tr w:rsidR="00333A5C" w:rsidRPr="005710DF" w:rsidTr="0035702E">
        <w:trPr>
          <w:trHeight w:val="286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C96816" w:rsidRDefault="0035702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Német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333A5C" w:rsidRPr="005710DF" w:rsidRDefault="0035702E" w:rsidP="00C247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Felsőfok (C1)</w:t>
            </w:r>
          </w:p>
        </w:tc>
      </w:tr>
    </w:tbl>
    <w:p w:rsidR="00514432" w:rsidRPr="005175DF" w:rsidRDefault="00514432" w:rsidP="00A417F0">
      <w:pPr>
        <w:spacing w:line="276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514432" w:rsidRPr="005175DF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AD" w:rsidRDefault="007207AD" w:rsidP="004A5B11">
      <w:pPr>
        <w:spacing w:after="0" w:line="240" w:lineRule="auto"/>
      </w:pPr>
      <w:r>
        <w:separator/>
      </w:r>
    </w:p>
  </w:endnote>
  <w:endnote w:type="continuationSeparator" w:id="0">
    <w:p w:rsidR="007207AD" w:rsidRDefault="007207AD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A417F0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:rsidR="00AE0B99" w:rsidRPr="00FF362B" w:rsidRDefault="00AE0B99" w:rsidP="00AE0B99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:rsidR="00514432" w:rsidRPr="00252ADC" w:rsidRDefault="00AE0B99" w:rsidP="00AE0B99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:rsidR="003B5C7D" w:rsidRPr="00FF362B" w:rsidRDefault="00AE0B99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1083 Budapest, Ludovika tér 2.</w:t>
        </w:r>
        <w:r w:rsidR="00252ADC" w:rsidRPr="00252ADC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:rsidR="00184F2C" w:rsidRPr="003B5C7D" w:rsidRDefault="00AE0B99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AE0B99">
          <w:rPr>
            <w:rFonts w:ascii="Verdana" w:hAnsi="Verdana"/>
            <w:color w:val="B89360"/>
            <w:sz w:val="13"/>
            <w:szCs w:val="13"/>
          </w:rPr>
          <w:t>POSTACÍM 1441 Budapest, Pf. 60.</w:t>
        </w:r>
        <w:r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 xml:space="preserve">| </w:t>
        </w:r>
        <w:r w:rsidRPr="00AE0B99">
          <w:rPr>
            <w:rFonts w:ascii="Verdana" w:hAnsi="Verdana"/>
            <w:color w:val="B89360"/>
            <w:sz w:val="13"/>
            <w:szCs w:val="13"/>
          </w:rPr>
          <w:t>nke@uni-nke.hu, 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AD" w:rsidRDefault="007207AD" w:rsidP="004A5B11">
      <w:pPr>
        <w:spacing w:after="0" w:line="240" w:lineRule="auto"/>
      </w:pPr>
      <w:r>
        <w:separator/>
      </w:r>
    </w:p>
  </w:footnote>
  <w:footnote w:type="continuationSeparator" w:id="0">
    <w:p w:rsidR="007207AD" w:rsidRDefault="007207AD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42" w:rsidRDefault="007207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42" w:rsidRDefault="007207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:rsidTr="0088316E">
      <w:trPr>
        <w:trHeight w:val="20"/>
      </w:trPr>
      <w:tc>
        <w:tcPr>
          <w:tcW w:w="5666" w:type="dxa"/>
          <w:vMerge w:val="restart"/>
        </w:tcPr>
        <w:p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7867E4FA" wp14:editId="44C85284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:rsidTr="00227E21">
      <w:trPr>
        <w:trHeight w:val="1550"/>
      </w:trPr>
      <w:tc>
        <w:tcPr>
          <w:tcW w:w="5666" w:type="dxa"/>
          <w:vMerge/>
        </w:tcPr>
        <w:p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:rsidR="009E4C96" w:rsidRPr="00AE0B99" w:rsidRDefault="00333A5C" w:rsidP="00333A5C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 w:rsidRPr="00227E21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SZAKMAI ÖNÉLETRAJZ</w:t>
          </w:r>
        </w:p>
      </w:tc>
    </w:tr>
  </w:tbl>
  <w:p w:rsidR="00E66161" w:rsidRPr="00772F2C" w:rsidRDefault="007207AD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22B56"/>
    <w:rsid w:val="000351A1"/>
    <w:rsid w:val="00092739"/>
    <w:rsid w:val="000D2111"/>
    <w:rsid w:val="000E360E"/>
    <w:rsid w:val="0010531E"/>
    <w:rsid w:val="00123A5A"/>
    <w:rsid w:val="001668A7"/>
    <w:rsid w:val="00171054"/>
    <w:rsid w:val="0017367B"/>
    <w:rsid w:val="00184F2C"/>
    <w:rsid w:val="001A1298"/>
    <w:rsid w:val="001D2E68"/>
    <w:rsid w:val="001F4F97"/>
    <w:rsid w:val="001F5C7F"/>
    <w:rsid w:val="001F71AA"/>
    <w:rsid w:val="00226CE8"/>
    <w:rsid w:val="00227E21"/>
    <w:rsid w:val="002455DE"/>
    <w:rsid w:val="00252ADC"/>
    <w:rsid w:val="00281236"/>
    <w:rsid w:val="002967C6"/>
    <w:rsid w:val="002A3929"/>
    <w:rsid w:val="003317B8"/>
    <w:rsid w:val="00333A5C"/>
    <w:rsid w:val="0035702E"/>
    <w:rsid w:val="0036188D"/>
    <w:rsid w:val="00380598"/>
    <w:rsid w:val="003B5C7D"/>
    <w:rsid w:val="003E4354"/>
    <w:rsid w:val="00402376"/>
    <w:rsid w:val="004062FF"/>
    <w:rsid w:val="0041561B"/>
    <w:rsid w:val="0041637B"/>
    <w:rsid w:val="00450513"/>
    <w:rsid w:val="004A4A2A"/>
    <w:rsid w:val="004A5B11"/>
    <w:rsid w:val="004B2381"/>
    <w:rsid w:val="004F010B"/>
    <w:rsid w:val="004F0545"/>
    <w:rsid w:val="00514432"/>
    <w:rsid w:val="005175DF"/>
    <w:rsid w:val="00524080"/>
    <w:rsid w:val="0055477A"/>
    <w:rsid w:val="00593A14"/>
    <w:rsid w:val="005C4A46"/>
    <w:rsid w:val="005E7E81"/>
    <w:rsid w:val="006534A3"/>
    <w:rsid w:val="006851E4"/>
    <w:rsid w:val="00717DB4"/>
    <w:rsid w:val="007207AD"/>
    <w:rsid w:val="007365F8"/>
    <w:rsid w:val="00766645"/>
    <w:rsid w:val="00772F2C"/>
    <w:rsid w:val="007B1A21"/>
    <w:rsid w:val="00804CA3"/>
    <w:rsid w:val="008072FA"/>
    <w:rsid w:val="0081482A"/>
    <w:rsid w:val="008349E2"/>
    <w:rsid w:val="00856186"/>
    <w:rsid w:val="0088316E"/>
    <w:rsid w:val="008A3D86"/>
    <w:rsid w:val="008E6E67"/>
    <w:rsid w:val="00966177"/>
    <w:rsid w:val="009833E8"/>
    <w:rsid w:val="009A5427"/>
    <w:rsid w:val="009B6F08"/>
    <w:rsid w:val="009E4C96"/>
    <w:rsid w:val="00A22AF6"/>
    <w:rsid w:val="00A417F0"/>
    <w:rsid w:val="00A44BE0"/>
    <w:rsid w:val="00A7797B"/>
    <w:rsid w:val="00A83991"/>
    <w:rsid w:val="00AB7AB3"/>
    <w:rsid w:val="00AE0B99"/>
    <w:rsid w:val="00AE40B5"/>
    <w:rsid w:val="00B019EA"/>
    <w:rsid w:val="00B43ECD"/>
    <w:rsid w:val="00B61F48"/>
    <w:rsid w:val="00BD4F26"/>
    <w:rsid w:val="00C15169"/>
    <w:rsid w:val="00C876F7"/>
    <w:rsid w:val="00CC22A1"/>
    <w:rsid w:val="00CE304C"/>
    <w:rsid w:val="00CE386A"/>
    <w:rsid w:val="00CE5F80"/>
    <w:rsid w:val="00D26ECA"/>
    <w:rsid w:val="00D93127"/>
    <w:rsid w:val="00DC0557"/>
    <w:rsid w:val="00E17242"/>
    <w:rsid w:val="00E55462"/>
    <w:rsid w:val="00E66161"/>
    <w:rsid w:val="00EC1C4E"/>
    <w:rsid w:val="00EC35BE"/>
    <w:rsid w:val="00ED02E5"/>
    <w:rsid w:val="00ED7927"/>
    <w:rsid w:val="00F37234"/>
    <w:rsid w:val="00F80B2F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B5709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E6E8-8380-491F-97B1-F1C219B5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Felméry Zoltán</cp:lastModifiedBy>
  <cp:revision>13</cp:revision>
  <cp:lastPrinted>2020-03-03T07:29:00Z</cp:lastPrinted>
  <dcterms:created xsi:type="dcterms:W3CDTF">2020-06-19T07:59:00Z</dcterms:created>
  <dcterms:modified xsi:type="dcterms:W3CDTF">2024-10-15T08:19:00Z</dcterms:modified>
</cp:coreProperties>
</file>